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37" w:rsidRDefault="009C0637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i/>
          <w:noProof/>
          <w:color w:val="FF0000"/>
          <w:lang w:eastAsia="ru-RU"/>
        </w:rPr>
        <w:t xml:space="preserve">                   </w:t>
      </w:r>
      <w:r w:rsidR="00C53A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</w:t>
      </w:r>
    </w:p>
    <w:p w:rsidR="009C0637" w:rsidRPr="009C0637" w:rsidRDefault="009C0637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ahoma" w:eastAsia="Times New Roman" w:hAnsi="Tahoma" w:cs="Tahoma"/>
          <w:b/>
          <w:i/>
          <w:color w:val="FF0000"/>
          <w:sz w:val="16"/>
          <w:szCs w:val="16"/>
          <w:lang w:eastAsia="ru-RU"/>
        </w:rPr>
        <w:t xml:space="preserve">ВАШИ </w:t>
      </w:r>
      <w:r w:rsidR="00C53A8E" w:rsidRPr="00C53A8E">
        <w:rPr>
          <w:rFonts w:ascii="Tahoma" w:eastAsia="Times New Roman" w:hAnsi="Tahoma" w:cs="Tahoma"/>
          <w:b/>
          <w:i/>
          <w:color w:val="FF0000"/>
          <w:sz w:val="16"/>
          <w:szCs w:val="16"/>
          <w:lang w:eastAsia="ru-RU"/>
        </w:rPr>
        <w:t>ВОСПИТАТЕЛИ!!!</w:t>
      </w:r>
    </w:p>
    <w:p w:rsidR="00C53A8E" w:rsidRDefault="009C0637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5289C">
        <w:rPr>
          <w:rFonts w:ascii="Angsana New" w:hAnsi="Angsana New" w:cs="Angsana New"/>
          <w:i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5A72E644" wp14:editId="04F8AF79">
            <wp:simplePos x="0" y="0"/>
            <wp:positionH relativeFrom="column">
              <wp:posOffset>1623060</wp:posOffset>
            </wp:positionH>
            <wp:positionV relativeFrom="paragraph">
              <wp:posOffset>92710</wp:posOffset>
            </wp:positionV>
            <wp:extent cx="637540" cy="971550"/>
            <wp:effectExtent l="0" t="0" r="0" b="0"/>
            <wp:wrapSquare wrapText="bothSides"/>
            <wp:docPr id="14" name="Рисунок 14" descr="http://www.sochi-schools.ru/d027/userfiles/image/RSRRSRRIRRR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RSRRSRRIRRR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A8E" w:rsidRDefault="00E00E0D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 wp14:anchorId="2FF91CB4" wp14:editId="02CEEBAD">
            <wp:extent cx="864000" cy="864000"/>
            <wp:effectExtent l="0" t="0" r="0" b="0"/>
            <wp:docPr id="7" name="Рисунок 7" descr="C:\Users\User\Desktop\ВСЕ ФТО\‪+7 989 163-79-76‬ 20150503_2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‪+7 989 163-79-76‬ 20150503_21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C0" w:rsidRPr="009C0637" w:rsidRDefault="00C53A8E" w:rsidP="005130C0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</w:t>
      </w:r>
      <w:proofErr w:type="spellStart"/>
      <w:r w:rsidR="005130C0" w:rsidRPr="009C0637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>Гребцова</w:t>
      </w:r>
      <w:proofErr w:type="spellEnd"/>
      <w:r w:rsidR="005130C0" w:rsidRPr="009C0637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Лариса Геннадьевна.</w:t>
      </w:r>
      <w:r w:rsidR="005130C0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   </w:t>
      </w:r>
      <w:proofErr w:type="spellStart"/>
      <w:r w:rsidR="005130C0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>Толбатова</w:t>
      </w:r>
      <w:proofErr w:type="spellEnd"/>
      <w:r w:rsidR="005130C0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Наталья Николаевна.</w:t>
      </w:r>
    </w:p>
    <w:p w:rsidR="00C53A8E" w:rsidRDefault="00C53A8E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130C0" w:rsidRPr="005130C0" w:rsidRDefault="009C0637" w:rsidP="005130C0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                    </w:t>
      </w:r>
      <w:r w:rsidR="005130C0">
        <w:rPr>
          <w:noProof/>
          <w:lang w:eastAsia="ru-RU"/>
        </w:rPr>
        <w:t xml:space="preserve">              </w:t>
      </w:r>
      <w:r w:rsidR="005130C0" w:rsidRPr="00150EBA">
        <w:rPr>
          <w:b/>
          <w:i/>
          <w:color w:val="7030A0"/>
        </w:rPr>
        <w:t>Возрастные особенности детей 6-7 лет.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30C0" w:rsidRPr="00150EBA" w:rsidTr="0090052B">
        <w:tc>
          <w:tcPr>
            <w:tcW w:w="0" w:type="auto"/>
            <w:shd w:val="clear" w:color="auto" w:fill="FFFFFF"/>
            <w:vAlign w:val="center"/>
            <w:hideMark/>
          </w:tcPr>
          <w:p w:rsidR="005130C0" w:rsidRPr="00150EBA" w:rsidRDefault="005130C0" w:rsidP="0090052B">
            <w:pPr>
              <w:spacing w:before="120" w:after="225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150EBA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eastAsia="ru-RU"/>
              </w:rPr>
              <w:t>Это</w:t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— </w:t>
            </w:r>
            <w:proofErr w:type="gramStart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</w:t>
            </w:r>
            <w:proofErr w:type="gramEnd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риод познания мира человеческих отношений, творчества и подготовки к следующему, совершенно новому этапу в его жизни — обучению в школе.</w:t>
            </w:r>
          </w:p>
          <w:p w:rsidR="005130C0" w:rsidRPr="00150EBA" w:rsidRDefault="005130C0" w:rsidP="0090052B">
            <w:pPr>
              <w:spacing w:before="120" w:after="225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В этом возрасте чаще всего ваш ребенок: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</w:r>
          </w:p>
          <w:p w:rsidR="005130C0" w:rsidRPr="00150EBA" w:rsidRDefault="005130C0" w:rsidP="0090052B">
            <w:pPr>
              <w:spacing w:before="120" w:after="22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•    Постепенно социализируется, то есть адаптируется к социальной среде. Он становится способен переходить от своей узкой эгоцентричной позиции </w:t>
            </w:r>
            <w:proofErr w:type="gramStart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объективной, учитывать точки зрения других людей и может начать с ними сотрудничать.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      </w:r>
            <w:r w:rsidRPr="00150EBA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br/>
            </w:r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•    Очень </w:t>
            </w:r>
            <w:proofErr w:type="gramStart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ориентирован</w:t>
            </w:r>
            <w:proofErr w:type="gramEnd"/>
            <w:r w:rsidRPr="00150EBA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5130C0" w:rsidRPr="00150EBA" w:rsidRDefault="005130C0" w:rsidP="005130C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</w:t>
      </w:r>
      <w:r w:rsidRPr="00150EBA">
        <w:rPr>
          <w:rFonts w:asciiTheme="majorHAnsi" w:eastAsia="Times New Roman" w:hAnsiTheme="majorHAnsi" w:cs="Tahoma"/>
          <w:b/>
          <w:bCs/>
          <w:color w:val="000000"/>
          <w:sz w:val="16"/>
          <w:szCs w:val="16"/>
          <w:lang w:eastAsia="ru-RU"/>
        </w:rPr>
        <w:t>Охрана и укрепление здоровья дошкольников</w:t>
      </w:r>
    </w:p>
    <w:p w:rsidR="005130C0" w:rsidRPr="00150EBA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    Организация жизни старших дошкольников в детском саду строится с учетом их важнейших социальных потребностей: в старшем дошкольном возрасте закрепляются и углубляются представления и практические умения детей в области гигиены. Задача воспитателя – способствовать образованию устойчивых культурно-гигиенических привычек, побуждать детей охотно и с удовольствием выполнять все культурно-гигиенические правила. Гигиенические навыки у детей старшего дошкольного возраста становятся достаточно устойчивыми. Они могут уже самостоятельно и осознанно выполнять многие гигиенические и закаливающие водные процедуры – правильно и своевременно мыть руки, умываться, чистить зубы утром и вечером, мыть ноги ежедневно перед сном, полоскать рот после приема пищи, пользоваться носовым платком, подмываться, быть опрятными и аккуратными, причесываться, следить за своим внешним видом.</w:t>
      </w:r>
    </w:p>
    <w:p w:rsidR="005130C0" w:rsidRPr="00150EBA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  Укрепить ценные гигиенические привычки помогают веселые поговорки, пословицы, стихи, а также шефство старших дошкольников над малышами. Вся работа по воспитанию гигиенической культуры у детей осуществляется воспитателем в тесном сотрудничестве с семьей.</w:t>
      </w:r>
    </w:p>
    <w:p w:rsidR="005130C0" w:rsidRPr="00150EBA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  Воздушный и тепловой режим, освещенность групповой комнаты должны соответствовать принятым гигиеническим нормам. Возраст 5–7 лет характеризуется активизацией ростового процесса, что требует постоянного подбора мебели соответственно росту детей.</w:t>
      </w:r>
    </w:p>
    <w:p w:rsidR="005130C0" w:rsidRPr="00150EBA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     В старшем дошкольном возрасте у детей хорошо развиты крупные мышцы туловища и конечностей, но мелкие мышцы, особенно кистей рук, все еще слабы. Для их развития воспитатель использует пальчиковую гимнастику, занятия рукоделием, изобразительную деятельность, разнообразные графические упражнения: штриховки, закрашивания контурных изображений, рисование узоров, копирование орнаментов и др.</w:t>
      </w:r>
    </w:p>
    <w:p w:rsidR="005130C0" w:rsidRPr="00150EBA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      В течение шестого года жизни совершенствуются основные нервные процессы – возбуждение и особенно торможение. Это благоприятно сказывается на возможностях </w:t>
      </w:r>
      <w:proofErr w:type="spellStart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саморегуляции</w:t>
      </w:r>
      <w:proofErr w:type="spellEnd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. Дети начинают чаще воздерживаться от нежелательных действий. Но в целом способность к произвольной регуляции своей активности все еще выражена недостаточно.</w:t>
      </w:r>
    </w:p>
    <w:p w:rsidR="005130C0" w:rsidRPr="00150EBA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      Дошкольники осваивают начальные представления о здоровье и здоровом образе жизни, о значении гигиенических процедур (для чего необходимо мыть руки, чистить зубы и пр.), закаливания, занятий спортом, утренней гимнастики, </w:t>
      </w: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lastRenderedPageBreak/>
        <w:t>активного пребывания на свежем воздухе для укрепления здоровья. Формируется представление о гигиенических основах организации деятельности (необходимость достаточной освещенности, свежего воздуха, правильной позы и пр.).</w:t>
      </w:r>
    </w:p>
    <w:p w:rsidR="005130C0" w:rsidRDefault="005130C0" w:rsidP="005130C0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      Насыщенная предметно-развивающая среда становится основой для организации увлекательной, содержательной жизни и разностороннего развития каждого ребенка, организуется так, чтобы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</w:t>
      </w:r>
      <w:proofErr w:type="gramStart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мензурки и пр.; большой выбор природных материалов для изучения, изготовления игрушек-самоделок.</w:t>
      </w:r>
      <w:proofErr w:type="gramEnd"/>
      <w:r w:rsidRPr="00150EBA">
        <w:rPr>
          <w:rFonts w:asciiTheme="majorHAnsi" w:eastAsia="Times New Roman" w:hAnsiTheme="majorHAnsi" w:cs="Tahoma"/>
          <w:color w:val="000000"/>
          <w:sz w:val="16"/>
          <w:szCs w:val="16"/>
          <w:lang w:eastAsia="ru-RU"/>
        </w:rPr>
        <w:t xml:space="preserve"> Широко используются материалы, побуждающие детей к освоению грамоты и пр. Необходимыми в оборудовании являются материалы, стимулирующие развитие широких социальных интересов и познавательной активности детей</w:t>
      </w:r>
      <w:r w:rsidRPr="00150EB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C53A8E" w:rsidRPr="005130C0" w:rsidRDefault="005130C0" w:rsidP="005130C0">
      <w:pPr>
        <w:shd w:val="clear" w:color="auto" w:fill="FFFFFF"/>
        <w:spacing w:before="120" w:after="120" w:line="240" w:lineRule="auto"/>
        <w:jc w:val="both"/>
        <w:rPr>
          <w:sz w:val="16"/>
          <w:szCs w:val="16"/>
        </w:rPr>
      </w:pPr>
      <w:r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                                          </w:t>
      </w:r>
      <w:r w:rsidR="00C53A8E" w:rsidRPr="00C53A8E">
        <w:rPr>
          <w:b/>
          <w:i/>
          <w:color w:val="C00000"/>
        </w:rPr>
        <w:t>Организация режима пребыва</w:t>
      </w:r>
      <w:r w:rsidR="00C53A8E">
        <w:rPr>
          <w:b/>
          <w:i/>
          <w:color w:val="C00000"/>
        </w:rPr>
        <w:t>ния.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20"/>
        <w:gridCol w:w="3260"/>
      </w:tblGrid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Вид</w:t>
            </w:r>
          </w:p>
          <w:p w:rsidR="005130C0" w:rsidRPr="005130C0" w:rsidRDefault="005130C0" w:rsidP="005130C0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3260" w:type="dxa"/>
          </w:tcPr>
          <w:p w:rsidR="005130C0" w:rsidRPr="005130C0" w:rsidRDefault="005130C0" w:rsidP="005130C0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время в режиме дня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Прием детей,  на прогулке. Возвращение с прогулки.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7.30-8.30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Подготовка к завтраку. Завтрак.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8.30-8.50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Игры, самостоятельная деятельность.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8.50-9.00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9.00-10.50.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10.50-11.00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Подготовка к прогулке; </w:t>
            </w:r>
          </w:p>
          <w:p w:rsidR="005130C0" w:rsidRPr="005130C0" w:rsidRDefault="005130C0" w:rsidP="005130C0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Прогулка: игры, наблюдения и т.д.</w:t>
            </w:r>
          </w:p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11.00-12.40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Возвращение с прогулки. Самостоятельная игровая деятельность.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12.40-12.50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Подготовка к обеду. Обед.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12.50-13.15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Подготовка ко сну. Сон.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13.15-15.00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Постепенный подъем, гимнастика-побудка,  закаливающие процедуры</w:t>
            </w:r>
            <w:proofErr w:type="gramStart"/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15.00-15.25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Игры, общение, чтение</w:t>
            </w: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, организованная детская деятельность</w:t>
            </w:r>
          </w:p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15.25-16.00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Подготовка к уплотненному полднику. Уплотненный полдник.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16.00-16.20</w:t>
            </w:r>
          </w:p>
        </w:tc>
      </w:tr>
      <w:tr w:rsidR="005130C0" w:rsidRPr="005130C0" w:rsidTr="0090052B">
        <w:tc>
          <w:tcPr>
            <w:tcW w:w="5920" w:type="dxa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3260" w:type="dxa"/>
            <w:vAlign w:val="center"/>
          </w:tcPr>
          <w:p w:rsidR="005130C0" w:rsidRPr="005130C0" w:rsidRDefault="005130C0" w:rsidP="005130C0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</w:pPr>
            <w:r w:rsidRPr="005130C0">
              <w:rPr>
                <w:rFonts w:ascii="Times New Roman" w:eastAsia="SimSun" w:hAnsi="Times New Roman" w:cs="Times New Roman"/>
                <w:color w:val="0070C0"/>
                <w:kern w:val="2"/>
                <w:sz w:val="18"/>
                <w:szCs w:val="18"/>
                <w:lang w:eastAsia="hi-IN" w:bidi="hi-IN"/>
              </w:rPr>
              <w:t>16.20-18.00</w:t>
            </w:r>
          </w:p>
        </w:tc>
      </w:tr>
    </w:tbl>
    <w:p w:rsidR="00C53A8E" w:rsidRPr="00C53A8E" w:rsidRDefault="00C53A8E" w:rsidP="00C53A8E">
      <w:pPr>
        <w:spacing w:after="0" w:line="240" w:lineRule="auto"/>
        <w:rPr>
          <w:b/>
          <w:i/>
          <w:color w:val="C00000"/>
          <w:sz w:val="16"/>
          <w:szCs w:val="16"/>
        </w:rPr>
      </w:pPr>
    </w:p>
    <w:p w:rsidR="00C53A8E" w:rsidRDefault="00C53A8E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 w:rsidRPr="00C53A8E">
        <w:rPr>
          <w:b/>
          <w:i/>
          <w:color w:val="C00000"/>
          <w:sz w:val="20"/>
          <w:szCs w:val="20"/>
        </w:rPr>
        <w:t xml:space="preserve">                            </w:t>
      </w:r>
      <w:r>
        <w:rPr>
          <w:b/>
          <w:i/>
          <w:color w:val="C00000"/>
          <w:sz w:val="20"/>
          <w:szCs w:val="20"/>
        </w:rPr>
        <w:t xml:space="preserve">             </w:t>
      </w:r>
      <w:r w:rsidRPr="00C53A8E">
        <w:rPr>
          <w:b/>
          <w:i/>
          <w:color w:val="C00000"/>
          <w:sz w:val="20"/>
          <w:szCs w:val="20"/>
        </w:rPr>
        <w:t xml:space="preserve">   </w:t>
      </w:r>
      <w:r w:rsidR="005130C0">
        <w:rPr>
          <w:b/>
          <w:i/>
          <w:color w:val="C00000"/>
          <w:sz w:val="20"/>
          <w:szCs w:val="20"/>
        </w:rPr>
        <w:t>Организованная образовательная деятельность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914"/>
        <w:gridCol w:w="2001"/>
        <w:gridCol w:w="2689"/>
      </w:tblGrid>
      <w:tr w:rsidR="005130C0" w:rsidRPr="005130C0" w:rsidTr="005130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0" w:type="dxa"/>
          </w:tcPr>
          <w:p w:rsidR="005130C0" w:rsidRPr="005130C0" w:rsidRDefault="005130C0" w:rsidP="005130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914" w:type="dxa"/>
          </w:tcPr>
          <w:p w:rsidR="005130C0" w:rsidRPr="005130C0" w:rsidRDefault="005130C0" w:rsidP="005130C0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001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Время деятельности</w:t>
            </w:r>
          </w:p>
        </w:tc>
        <w:tc>
          <w:tcPr>
            <w:tcW w:w="2689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5130C0" w:rsidRPr="005130C0" w:rsidTr="005130C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610" w:type="dxa"/>
          </w:tcPr>
          <w:p w:rsidR="005130C0" w:rsidRPr="005130C0" w:rsidRDefault="005130C0" w:rsidP="005130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14" w:type="dxa"/>
          </w:tcPr>
          <w:p w:rsidR="005130C0" w:rsidRPr="005130C0" w:rsidRDefault="005130C0" w:rsidP="005130C0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 Развитие речи.</w:t>
            </w:r>
          </w:p>
          <w:p w:rsidR="005130C0" w:rsidRPr="005130C0" w:rsidRDefault="005130C0" w:rsidP="005130C0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2.Художественно-эстетическое развитие.</w:t>
            </w:r>
          </w:p>
        </w:tc>
        <w:tc>
          <w:tcPr>
            <w:tcW w:w="2001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9.00-9-30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689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1.Развитие речи.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2.Музыка</w:t>
            </w:r>
          </w:p>
        </w:tc>
      </w:tr>
      <w:tr w:rsidR="005130C0" w:rsidRPr="005130C0" w:rsidTr="005130C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10" w:type="dxa"/>
          </w:tcPr>
          <w:p w:rsidR="005130C0" w:rsidRPr="005130C0" w:rsidRDefault="005130C0" w:rsidP="005130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14" w:type="dxa"/>
          </w:tcPr>
          <w:p w:rsidR="005130C0" w:rsidRPr="005130C0" w:rsidRDefault="005130C0" w:rsidP="005130C0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1.Познавательное развитие.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 Физическая культура.</w:t>
            </w:r>
          </w:p>
        </w:tc>
        <w:tc>
          <w:tcPr>
            <w:tcW w:w="2001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9.00-9.30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689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1.ФЭМП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2.Физическая культура.</w:t>
            </w:r>
          </w:p>
        </w:tc>
      </w:tr>
      <w:tr w:rsidR="005130C0" w:rsidRPr="005130C0" w:rsidTr="005130C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610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14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1. Познавательное развитие 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</w:t>
            </w:r>
            <w:r w:rsidRPr="005130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Художественно-эстетическое</w:t>
            </w: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развитие.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3. Физическая культура.</w:t>
            </w:r>
          </w:p>
        </w:tc>
        <w:tc>
          <w:tcPr>
            <w:tcW w:w="2001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9.00-9.30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9.40-10.10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689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1.Ознакомление с окружающим миром.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2.Рисование.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3.Физическая культура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( на воздухе)</w:t>
            </w:r>
          </w:p>
        </w:tc>
      </w:tr>
      <w:tr w:rsidR="005130C0" w:rsidRPr="005130C0" w:rsidTr="00951226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610" w:type="dxa"/>
          </w:tcPr>
          <w:p w:rsidR="005130C0" w:rsidRPr="005130C0" w:rsidRDefault="005130C0" w:rsidP="005130C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14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1. </w:t>
            </w:r>
            <w:r w:rsidRPr="005130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Познавательное развитие</w:t>
            </w:r>
            <w:proofErr w:type="gramStart"/>
            <w:r w:rsidRPr="005130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</w:t>
            </w:r>
            <w:r w:rsidRPr="005130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Художественно-эстетическое</w:t>
            </w: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развитие.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3.</w:t>
            </w:r>
            <w:r w:rsidRPr="005130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Художественно-эстетическое</w:t>
            </w: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развитие. </w:t>
            </w:r>
          </w:p>
        </w:tc>
        <w:tc>
          <w:tcPr>
            <w:tcW w:w="2001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9.00-9.30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9.40-10.10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10.20-10.50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1.ФЭМП.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2.Музыка.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3.Лепка/Аппликация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</w:tc>
      </w:tr>
      <w:tr w:rsidR="005130C0" w:rsidRPr="005130C0" w:rsidTr="005130C0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  <w:t>Пятница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1.Развитие речи.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2.Физическая культура.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3.</w:t>
            </w:r>
            <w:r w:rsidRPr="005130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Художественно-эстетическое</w:t>
            </w: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развитие.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9.00-9.30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9.40-10.10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689" w:type="dxa"/>
          </w:tcPr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1.Развитие речи.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2.Физическая культура.</w:t>
            </w: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  <w:p w:rsidR="005130C0" w:rsidRPr="005130C0" w:rsidRDefault="005130C0" w:rsidP="0051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130C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3.Рисование.</w:t>
            </w:r>
          </w:p>
        </w:tc>
      </w:tr>
    </w:tbl>
    <w:p w:rsidR="00C53A8E" w:rsidRDefault="005130C0" w:rsidP="005130C0">
      <w:pPr>
        <w:pStyle w:val="a6"/>
        <w:tabs>
          <w:tab w:val="left" w:pos="6336"/>
        </w:tabs>
        <w:jc w:val="left"/>
        <w:rPr>
          <w:b/>
          <w:bCs/>
          <w:i/>
          <w:iCs/>
          <w:color w:val="C0504D"/>
          <w:sz w:val="32"/>
        </w:rPr>
      </w:pPr>
      <w:r>
        <w:rPr>
          <w:b/>
          <w:bCs/>
          <w:i/>
          <w:iCs/>
          <w:color w:val="C0504D"/>
          <w:sz w:val="32"/>
        </w:rPr>
        <w:tab/>
      </w:r>
    </w:p>
    <w:p w:rsidR="00951226" w:rsidRDefault="001E323B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 xml:space="preserve">                                                                      </w:t>
      </w: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C53A8E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lastRenderedPageBreak/>
        <w:t xml:space="preserve">                                                       </w:t>
      </w:r>
      <w:bookmarkStart w:id="0" w:name="_GoBack"/>
      <w:bookmarkEnd w:id="0"/>
      <w:r w:rsidR="001E323B">
        <w:rPr>
          <w:b/>
          <w:i/>
          <w:color w:val="C00000"/>
          <w:sz w:val="20"/>
          <w:szCs w:val="20"/>
        </w:rPr>
        <w:t xml:space="preserve"> </w:t>
      </w:r>
      <w:proofErr w:type="gramStart"/>
      <w:r w:rsidR="005130C0">
        <w:rPr>
          <w:b/>
          <w:i/>
          <w:color w:val="C00000"/>
          <w:sz w:val="20"/>
          <w:szCs w:val="20"/>
        </w:rPr>
        <w:t>Наш</w:t>
      </w:r>
      <w:proofErr w:type="gramEnd"/>
      <w:r w:rsidR="005130C0">
        <w:rPr>
          <w:b/>
          <w:i/>
          <w:color w:val="C00000"/>
          <w:sz w:val="20"/>
          <w:szCs w:val="20"/>
        </w:rPr>
        <w:t xml:space="preserve"> детский сад-н</w:t>
      </w:r>
      <w:r w:rsidR="001E323B">
        <w:rPr>
          <w:b/>
          <w:i/>
          <w:color w:val="C00000"/>
          <w:sz w:val="20"/>
          <w:szCs w:val="20"/>
        </w:rPr>
        <w:t>аша группа!!!</w:t>
      </w: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1E323B" w:rsidRDefault="000F5FEA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 xml:space="preserve">                            </w:t>
      </w:r>
      <w:r w:rsidR="001E323B"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727226" cy="1296000"/>
            <wp:effectExtent l="0" t="0" r="6350" b="0"/>
            <wp:docPr id="1" name="Рисунок 1" descr="E:\фото  улица\20160318_120723 (2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 улица\20160318_120723 (2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2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976104" cy="1296000"/>
            <wp:effectExtent l="0" t="0" r="0" b="0"/>
            <wp:docPr id="2" name="Рисунок 2" descr="E:\фото  улица\20160318_120937 (Копировать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 улица\20160318_120937 (Копировать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04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999000" cy="1332000"/>
            <wp:effectExtent l="0" t="0" r="0" b="1905"/>
            <wp:docPr id="4" name="Рисунок 4" descr="C:\Users\User\Desktop\ВСЕ ФТО\УЛИЦА САДИКА\IMG-201606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ФТО\УЛИЦА САДИКА\IMG-20160606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                             </w:t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11" name="Рисунок 11" descr="C:\Users\User\Desktop\среда подготов\DSCN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реда подготов\DSCN2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12" name="Рисунок 12" descr="C:\Users\User\Desktop\среда подготов\DSCN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реда подготов\DSCN2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EA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</w:t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949450" cy="1461135"/>
            <wp:effectExtent l="0" t="0" r="0" b="5715"/>
            <wp:docPr id="5" name="Рисунок 5" descr="C:\Users\User\Desktop\среда подготов\DSCN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реда подготов\DSCN2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6" name="Рисунок 6" descr="C:\Users\User\Desktop\среда подготов\DSCN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реда подготов\DSCN2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8" name="Рисунок 8" descr="C:\Users\User\Desktop\среда подготов\DSCN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реда подготов\DSCN22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10" w:rsidRDefault="003E7C10" w:rsidP="00C53A8E">
      <w:pPr>
        <w:spacing w:after="0" w:line="240" w:lineRule="auto"/>
        <w:rPr>
          <w:b/>
          <w:i/>
          <w:noProof/>
          <w:color w:val="C00000"/>
          <w:sz w:val="20"/>
          <w:szCs w:val="20"/>
          <w:lang w:eastAsia="ru-RU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    </w:t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 wp14:anchorId="290B5F3A" wp14:editId="3450EC91">
            <wp:extent cx="1944000" cy="1457051"/>
            <wp:effectExtent l="0" t="0" r="0" b="0"/>
            <wp:docPr id="9" name="Рисунок 9" descr="C:\Users\User\Desktop\среда подготов\DSCN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реда подготов\DSCN22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4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949450" cy="1461135"/>
            <wp:effectExtent l="0" t="0" r="0" b="5715"/>
            <wp:docPr id="10" name="Рисунок 10" descr="C:\Users\User\Desktop\среда подготов\DSCN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реда подготов\DSCN2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10" w:rsidRPr="00C53A8E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                                                        </w:t>
      </w:r>
    </w:p>
    <w:sectPr w:rsidR="003E7C10" w:rsidRPr="00C5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E"/>
    <w:rsid w:val="000118D6"/>
    <w:rsid w:val="000F5FEA"/>
    <w:rsid w:val="001E323B"/>
    <w:rsid w:val="003A7151"/>
    <w:rsid w:val="003E7C10"/>
    <w:rsid w:val="004A5D3F"/>
    <w:rsid w:val="005130C0"/>
    <w:rsid w:val="00926048"/>
    <w:rsid w:val="00951226"/>
    <w:rsid w:val="009C0637"/>
    <w:rsid w:val="00C53A8E"/>
    <w:rsid w:val="00E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53A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53A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0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3A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53A8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3A8E"/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C53A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30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53A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53A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0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3A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53A8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3A8E"/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C53A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30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2018-05-17T07:16:00Z</dcterms:created>
  <dcterms:modified xsi:type="dcterms:W3CDTF">2018-05-17T07:34:00Z</dcterms:modified>
</cp:coreProperties>
</file>